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8089F">
        <w:rPr>
          <w:sz w:val="24"/>
          <w:szCs w:val="24"/>
        </w:rPr>
        <w:t>14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58089F">
        <w:t>vinte (2</w:t>
      </w:r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58089F">
        <w:t>OCLIDES BENETTI</w:t>
      </w:r>
      <w:bookmarkEnd w:id="0"/>
      <w:r w:rsidR="00825C3C">
        <w:t xml:space="preserve"> referente ao período aquisitivo </w:t>
      </w:r>
      <w:r w:rsidR="0058089F">
        <w:t>02/01/2021 a 01/01</w:t>
      </w:r>
      <w:r w:rsidR="005C6555">
        <w:t xml:space="preserve">/2022, durante o período de </w:t>
      </w:r>
      <w:r w:rsidR="0058089F">
        <w:t>17/07/2023 a 05/08</w:t>
      </w:r>
      <w:r w:rsidR="00825C3C">
        <w:t>/2023, conforme art.10</w:t>
      </w:r>
      <w:r w:rsidR="00BC5490">
        <w:t>2 da Lei Municipal nº 1350/2001</w:t>
      </w:r>
      <w:r w:rsidR="0058089F">
        <w:t xml:space="preserve"> e Portaria 273/2023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8089F">
        <w:rPr>
          <w:sz w:val="24"/>
          <w:szCs w:val="24"/>
        </w:rPr>
        <w:t>DEZOITO (18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5490">
        <w:rPr>
          <w:sz w:val="24"/>
          <w:szCs w:val="24"/>
        </w:rPr>
        <w:t>1</w:t>
      </w:r>
      <w:r w:rsidR="0058089F">
        <w:rPr>
          <w:sz w:val="24"/>
          <w:szCs w:val="24"/>
        </w:rPr>
        <w:t>8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</w:t>
      </w:r>
      <w:r w:rsidR="0058089F">
        <w:rPr>
          <w:sz w:val="24"/>
          <w:szCs w:val="24"/>
        </w:rPr>
        <w:t>8</w:t>
      </w:r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718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41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089F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4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83181-6527-45B5-B326-41CAA913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2023-07-17T19:40:00Z</dcterms:created>
  <dcterms:modified xsi:type="dcterms:W3CDTF">2023-07-17T19:40:00Z</dcterms:modified>
</cp:coreProperties>
</file>