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B3BF5">
        <w:rPr>
          <w:sz w:val="24"/>
          <w:szCs w:val="24"/>
        </w:rPr>
        <w:t>21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B3BF5">
        <w:t>quinze</w:t>
      </w:r>
      <w:r w:rsidR="00233E5C">
        <w:t xml:space="preserve"> </w:t>
      </w:r>
      <w:r>
        <w:t>(</w:t>
      </w:r>
      <w:r w:rsidR="001A43AF">
        <w:t>1</w:t>
      </w:r>
      <w:r w:rsidR="002B3BF5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BF4D52">
        <w:t>ELA</w:t>
      </w:r>
      <w:r w:rsidR="002B3BF5">
        <w:t>I</w:t>
      </w:r>
      <w:r w:rsidR="00BF4D52">
        <w:t>N</w:t>
      </w:r>
      <w:bookmarkStart w:id="0" w:name="_GoBack"/>
      <w:bookmarkEnd w:id="0"/>
      <w:r w:rsidR="002B3BF5">
        <w:t>E TERESINHA MULLER</w:t>
      </w:r>
      <w:r w:rsidR="001A43AF">
        <w:t xml:space="preserve"> </w:t>
      </w:r>
      <w:r>
        <w:t>referente ao período aquisitivo</w:t>
      </w:r>
      <w:r w:rsidR="002B3BF5">
        <w:t xml:space="preserve"> 03/06/2021 a 02/06/2022</w:t>
      </w:r>
      <w:r w:rsidR="009C5A5F">
        <w:t xml:space="preserve">, durante o período de </w:t>
      </w:r>
      <w:r w:rsidR="002B3BF5">
        <w:t>16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2B3BF5">
        <w:t>30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B3BF5">
        <w:t xml:space="preserve"> e Portaria 004/2023.</w:t>
      </w:r>
    </w:p>
    <w:p w:rsidR="002B3BF5" w:rsidRDefault="002B3BF5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3CEC">
        <w:rPr>
          <w:sz w:val="24"/>
          <w:szCs w:val="24"/>
        </w:rPr>
        <w:t>DOZE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3CEC">
        <w:rPr>
          <w:sz w:val="24"/>
          <w:szCs w:val="24"/>
        </w:rPr>
        <w:t>12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F4D52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EDA2-072F-4619-BD0A-2AB01C0F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2023-07-14T19:33:00Z</cp:lastPrinted>
  <dcterms:created xsi:type="dcterms:W3CDTF">2023-09-13T13:04:00Z</dcterms:created>
  <dcterms:modified xsi:type="dcterms:W3CDTF">2023-09-14T14:48:00Z</dcterms:modified>
</cp:coreProperties>
</file>