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6" w:rsidRDefault="00960326">
      <w:pPr>
        <w:pStyle w:val="Padr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</w:p>
    <w:p w:rsidR="00960326" w:rsidRDefault="00960326">
      <w:pPr>
        <w:pStyle w:val="Padr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JUSTIFICATIVA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DOS  ÍNDICES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CONTÁBEIS – LICITAÇÕES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86" w:rsidRDefault="00BB3E86">
      <w:pPr>
        <w:pStyle w:val="Padro"/>
        <w:jc w:val="both"/>
      </w:pP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Com vistas a atender o disposto no artigo 31 da Lei Federal 8.666/93, a Administração prevê no Edital de licitações a exigência de índices contábeis para a comprovação da boa situação financeira das empresas licitantes, sejam eles: liquidez corrente, liqui</w:t>
      </w:r>
      <w:r>
        <w:rPr>
          <w:rFonts w:ascii="Times New Roman" w:hAnsi="Times New Roman" w:cs="Times New Roman"/>
          <w:sz w:val="24"/>
          <w:szCs w:val="24"/>
        </w:rPr>
        <w:t>dez geral e solvência geral.</w:t>
      </w: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O Município conclui que o índice mínimo 1,00, exigido no Edital de licitação, para liquidez corrente, liquidez geral solvência geral são os aceitáveis para a Administração Pública, como descreve abaixo:</w:t>
      </w: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Corrente: O índ</w:t>
      </w:r>
      <w:r>
        <w:rPr>
          <w:rFonts w:ascii="Times New Roman" w:hAnsi="Times New Roman" w:cs="Times New Roman"/>
          <w:sz w:val="24"/>
          <w:szCs w:val="24"/>
        </w:rPr>
        <w:t xml:space="preserve">ice mínimo 1,00 representa que a empresa licitante tem condições de arcar com as dívidas e obrigações de curto prazo. Abaixo desse índice indicaria que a empresa está operando com capital circulante líquido negativo, o que não daria segurança ao Município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cumprimento do contrato.</w:t>
      </w: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Geral: Indica quanto a empresa licitante possui de circulante e realizável a longo prazo para cada R$ 1,00 de dívida total, dessa forma a solicitação de índice mínimo 1,00 equivale a empresa possuir, a longo prazo, cond</w:t>
      </w:r>
      <w:r>
        <w:rPr>
          <w:rFonts w:ascii="Times New Roman" w:hAnsi="Times New Roman" w:cs="Times New Roman"/>
          <w:sz w:val="24"/>
          <w:szCs w:val="24"/>
        </w:rPr>
        <w:t>ições de arcar com as dívidas e obrigações.</w:t>
      </w: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Solvência Geral: Expressa o grau de garantia que a empresa dispõe em ativos (totais) para pagamento do total de suas dívidas. Envolve além dos recursos líquidos, também os permanentes.</w:t>
      </w: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Sendo assim, o índice mínim</w:t>
      </w:r>
      <w:r>
        <w:rPr>
          <w:rFonts w:ascii="Times New Roman" w:hAnsi="Times New Roman" w:cs="Times New Roman"/>
          <w:sz w:val="24"/>
          <w:szCs w:val="24"/>
        </w:rPr>
        <w:t>o maior que 1,00 é indispensável à comprovação da boa situação financeira, sendo certo que quanto maior o resultado, melhor é a condição da empresa licitante.</w:t>
      </w:r>
    </w:p>
    <w:p w:rsidR="00BB3E86" w:rsidRDefault="00960326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Desta forma, atende plenamente a Lei Federal 8.666/93 limitando-se a exigir índices que demonstre</w:t>
      </w:r>
      <w:r>
        <w:rPr>
          <w:rFonts w:ascii="Times New Roman" w:hAnsi="Times New Roman" w:cs="Times New Roman"/>
          <w:sz w:val="24"/>
          <w:szCs w:val="24"/>
        </w:rPr>
        <w:t>m a capacidade financeira dos licitantes com vistas ao compromisso a ser assumido para plena execução do contrato.</w:t>
      </w:r>
    </w:p>
    <w:p w:rsidR="00BB3E86" w:rsidRDefault="00BB3E86">
      <w:pPr>
        <w:pStyle w:val="Padro"/>
        <w:jc w:val="both"/>
      </w:pPr>
    </w:p>
    <w:p w:rsidR="00BB3E86" w:rsidRDefault="00BB3E86">
      <w:pPr>
        <w:pStyle w:val="Padro"/>
        <w:jc w:val="both"/>
      </w:pPr>
    </w:p>
    <w:sectPr w:rsidR="00BB3E86">
      <w:pgSz w:w="11906" w:h="16838"/>
      <w:pgMar w:top="2268" w:right="1134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E86"/>
    <w:rsid w:val="00960326"/>
    <w:rsid w:val="00B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E924-27E8-4310-983C-83DE4AE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Selvio</cp:lastModifiedBy>
  <cp:revision>4</cp:revision>
  <dcterms:created xsi:type="dcterms:W3CDTF">2018-08-09T13:41:00Z</dcterms:created>
  <dcterms:modified xsi:type="dcterms:W3CDTF">2019-11-27T16:20:00Z</dcterms:modified>
</cp:coreProperties>
</file>