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43" w:rsidRDefault="00D13843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Arial" w:hAnsi="Arial"/>
          <w:b/>
          <w:bCs/>
          <w:sz w:val="24"/>
        </w:rPr>
      </w:pPr>
      <w:bookmarkStart w:id="0" w:name="_GoBack"/>
      <w:bookmarkEnd w:id="0"/>
    </w:p>
    <w:p w:rsidR="00D13843" w:rsidRDefault="008F2F47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ANEXO - I</w:t>
      </w:r>
    </w:p>
    <w:p w:rsidR="00D13843" w:rsidRDefault="00D13843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3843" w:rsidRDefault="00D13843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3843" w:rsidRDefault="00D13843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3843" w:rsidRDefault="008F2F47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TERMO DE REFERÊNCIA</w:t>
      </w:r>
    </w:p>
    <w:p w:rsidR="00D13843" w:rsidRDefault="00D13843">
      <w:pPr>
        <w:pStyle w:val="TableContents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3843" w:rsidRDefault="008F2F47">
      <w:pPr>
        <w:pStyle w:val="TableContents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AQUISIÇÃO DE GÊNEROS ALIMENTÍCIOS, PARA ALIMENTAÇÃO ESCOLAR DOS ESTUDANTES DAS ESCOLAS MUNICIPAIS, PARA O PRIMEIRO SEMESTRE DE  2020 CONTEMPLANDO OS </w:t>
      </w:r>
      <w:r>
        <w:rPr>
          <w:rFonts w:ascii="Times New Roman" w:hAnsi="Times New Roman" w:cs="Times New Roman"/>
          <w:sz w:val="22"/>
          <w:szCs w:val="22"/>
        </w:rPr>
        <w:t>ALUNOS DA EDUCAÇÃO INFANTIL, PRÉ-ESCOLA E ENSINO FUNDAMENTAL  E CAFÉ, AÇUCAR, CHÁ E FILTROS DE PAPEL PARA O  CONSUMO DAS SECRETARIAS DUTRANTE O ANO DE  ANO 2020</w:t>
      </w:r>
    </w:p>
    <w:p w:rsidR="00D13843" w:rsidRDefault="00D13843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– DO OBJETO:</w:t>
            </w:r>
          </w:p>
        </w:tc>
      </w:tr>
    </w:tbl>
    <w:p w:rsidR="00D13843" w:rsidRDefault="008F2F4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Contratação de empresa para fornecimento de alimentação escolar, com </w:t>
      </w:r>
      <w:r>
        <w:rPr>
          <w:rFonts w:ascii="Times New Roman" w:hAnsi="Times New Roman" w:cs="Times New Roman"/>
          <w:color w:val="000000"/>
          <w:sz w:val="22"/>
          <w:szCs w:val="22"/>
        </w:rPr>
        <w:t>entrega parcelada em cronograma fornecido pela secretaria municipal de educação, para atender os estudantes da rede municipal e a demanda de café, açúcar, chá e filtros de papel das Secretarias Municipais, durante o ano de 2020.</w:t>
      </w:r>
    </w:p>
    <w:p w:rsidR="00D13843" w:rsidRDefault="00D1384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7"/>
        <w:gridCol w:w="4793"/>
        <w:gridCol w:w="1275"/>
        <w:gridCol w:w="851"/>
        <w:gridCol w:w="992"/>
        <w:gridCol w:w="1134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Qtde.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Preço unit.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Amido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 milho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embalagem de 1 kg, apresentando rótulo indicando procedência e prazo de validade mínimo de 6 meses.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281,50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Açúcar cristal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em embalagem plástica de com 5 kg, apresentando rótulo com prazo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validade e procedência.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  Educ..</w:t>
            </w:r>
          </w:p>
          <w:p w:rsidR="00D13843" w:rsidRDefault="008F2F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Secret.</w:t>
            </w:r>
          </w:p>
          <w:p w:rsidR="00D13843" w:rsidRDefault="008F2F47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133 - 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1.569,40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Arroz polido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subgrupo polido, classe longo fino, agulha, tipo 1, isento de matéria terrosa, pedras, fungos ou parasitas, livre de umidade, com grãos inteiros.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Acondicionado em embalagem de polietileno transparente, original de fábrica de 5 Kg. Contendo na embalagem informações de procedência, data de fabricação e prazo de validade. Com registro no órgão competente.</w:t>
            </w:r>
          </w:p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MARCA APROVADA: BELLA 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856,80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Aveia em flocos,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embalagem de 500 g. Apresentando rótulo e validade mínima de seis meses. Com registro no órgão competente.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Bebida láctea fermentada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polpa de frutas bandeja de 540g com 6 unidades.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 prazo de validade de</w:t>
            </w:r>
          </w:p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MARCA APROVADA: BIOLACT</w:t>
            </w:r>
          </w:p>
          <w:p w:rsidR="00D13843" w:rsidRDefault="00D13843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1.458,00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TableContents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Carne bovina moída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congelada, com no máximo 15% de gordura, isenta de cartilagens e ossos,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manipulada em boas condições higiênicas, provenientes de animais 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boas condições de saúde, abatidos sob inspeção veterinária. A carne deve apresentar-se com aspecto próprio, não amolecida e nem pegajosa, cor, cheiro e sabor próprio, sem manchas esverdeadas, livres de parasitas, sujidades e qualquer substância contaminant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que possa alterá-la ou encobrir qualquer alteração, de acordo com a legislação sanitária e Ministério da Agricultura. Em embalagem transparente, atóxica,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 500g ou no máximo 1 Kg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identificada individualmente com: SIF ou CISPOA, nome e composição do 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duto, lote, data de fabricação e validade, número de registro no órgão oficial, endereço de fabricante e distribuidor, condições de armazenamento e peso.</w:t>
            </w:r>
          </w:p>
          <w:p w:rsidR="00D13843" w:rsidRDefault="008F2F47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MARCA APROVADA: CAMPO NOBRE</w:t>
            </w:r>
          </w:p>
          <w:p w:rsidR="00D13843" w:rsidRDefault="008F2F47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MARCAS REPROVADAS: BOFF BURGUER e NOVA ITABERABA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1.860,00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Café solúvel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granulado, 100% puro, torrado no ponto médio, com rendimento de aproximadamente 144 xícaras. A condicionado em embalagens de 200 g, de vidro, transparente e com tampa plástica. Com prazo de validade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mínimo de 12 meses.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Educ.</w:t>
            </w:r>
          </w:p>
          <w:p w:rsidR="00D13843" w:rsidRDefault="008F2F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Saúde</w:t>
            </w:r>
          </w:p>
          <w:p w:rsidR="00D13843" w:rsidRDefault="008F2F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 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283.20</w:t>
            </w: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TableContents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Canela em rama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embalagem de 01 kg. Prazo de validade não inferior a 06 meses a contar da data de entrega.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TableContents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Cenoura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sem folhas, nova, de primeira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qualidade, tamanho médio com casca sã, sem rupturas, limpa e sem terra.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215,10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TableContents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Cereal matinal de flocos de milho, açucarado,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constituídos de flocos de milho enriquecidos com ferro e ácido fólico, açúcar, sal, vitaminas e sais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minerais, extrato de malte e antioxidante tocoferol,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embalagem de 1 kg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contendo rótulo com informações nutricionais. Com prazo de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validade mínima de 06 meses a partir da data de entrega.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snapToGrid w:val="0"/>
              <w:spacing w:line="32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Colorau em pó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embalagem de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Corte de frango coxa e sobrecoxa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sem dorso, congelados, sem tempero, acondicionados em embalagens plásticas individuais, especificando o peso, procedência e o prazo de validade na embalagem. Deve ter certificado de inspeção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estadual ou federal.</w:t>
            </w:r>
          </w:p>
          <w:p w:rsidR="00D13843" w:rsidRDefault="008F2F47">
            <w:pPr>
              <w:pStyle w:val="Standard"/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MARCA APROVADA: DANIELI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Corte de frango, coxinha da asa,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congelados, acondicionados em embalagens plásticas individuais, especificando o peso, procedência e o prazo de validade na embalagem. Deve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certificado de inspeção estadual ou federal. Embalagem contendo 1 kg.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Farinha de trigo especial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tipo 1, obtido do trigo moído limpo, enriquecido com ferro e ácido fólico (vitamina B9) embalagem plástica de polietileno,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transparente ou papel original de fábrica de 5 kg. Com registro no órgão competente. Prazo de validade mínimo de 3 meses a contar da data de entrega.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355,25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snapToGrid w:val="0"/>
              <w:spacing w:line="320" w:lineRule="atLeast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bidi="ar-SA"/>
              </w:rPr>
              <w:t xml:space="preserve">Fermento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em pó químico</w:t>
            </w: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 xml:space="preserve">, embalagem plástica de 250 g, ingredientes: </w:t>
            </w: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amido de milho ou fécula de mandioca, fosfato monocalcico, bicarbonato de sódio e carbonato de cálcio. Apresentando rótulo, contendo procedência e data de validade.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144,24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Iscas de carne bovina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 coxão mole, limpos, isentos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tecido adiposo aparente e tecido conjuntivo de revestimento. Deve ser entregue congelada e apresentar cor e odor característico. Embalagem a vácuo, hermeticamente fechada de aproximadamente 01 kg.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2.460,00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Lentilha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tipo 01, nova,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primeira qualidade, embalagem plástica transparente de 500 g. sem a presença de grãos mofados, carunchados e torrados. Com data de fabricação e prazo de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validade de no mínimo 6 meses.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222,60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Maçã gala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deve apresentar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características próprias do cultivar bem definidas, estar fisiologicamente desenvolvidas, bem formadas, limpas, com coloração própria, livres de danos mecânicos, fisiológicos, pragas e doenças e estarem em perfeitas condições de conservação e maturação.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1.050,00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Mamão formosa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deve estar fisiologicamente desenvolvido, bem formado, limpo, com coloração própria, livres de danos mecânicos, fisiológicos, pragas e doenças e estar em perfeitas condições de conservação e maturação.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1.060,00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Melancia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produto íntegro sem manchas, picadas de insetos ou sinais de apodrecimento, estar em ponto de maturação próprio para o consumo, com peso médio de 10 kg por unidade.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Moela de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frango,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congelada com cor, odor e sabor característico do produto, de boa qualidade, em embalagem de 01 kg, contendo nome do produto, data da fabricação e validade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Ovos de galinha vermelhos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in natura, embalagem com 01 dúzia,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apresentando rótulo de identificação e prazo de validade, bem como registro no órgão competente.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Presunto fatiado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sem gordura aparente com peso aproximado de 15 g por fatia, em embalagem atóxica, devidamente identificada,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contendo procedência, data de fabricação, validade e registro no órgão competente.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647,04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Queijo mussarela fatiado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com peso aproximado de 15 g por fatia, em embalagem atóxica, devidamente identificada, tendo procedência, data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fabricação, validade e registro no órgão competente.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936,32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Queijo ralado  tipo parmezão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embalagem de 500 g apresentando rótulo de procedência e prazo de validade.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Pcts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594,80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 moído iodado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em embalagem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plástica transparente e resistente de 1Kg. Com prazo de validade de no mínimo 02 anos, apresentando rótulo indicando procedência e data de validade.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Salsicha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constituída de carne bovina, suína, e frango, sal, proteína isolada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soja, condimentos naturais. Em embalagem plástica transparente. Com etiqueta indicando procedência e prazo de validade.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Sardinha com óleo comestível,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contendo naturalmente ômega 3, com peso líquido de 250 g, lata sem ferrugem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e/ou amassadas. Prazo de validade de no mínimo 06 meses a partir da data de recebimento.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238,50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Tomate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grau médio de amadurecimento, de 1° qualidade, casca sã.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Vinagre de maçã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embalagem 750 ml, contendo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rótulo, procedência e data de validade.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43" w:rsidRDefault="008F2F4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Café em pó, tradicional, pacote de 500 gramas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4.301,00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Chá, sabores diversos, caixa com 10 saquinhos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336,00</w:t>
            </w:r>
          </w:p>
        </w:tc>
      </w:tr>
      <w:tr w:rsidR="00D1384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Filtro de Papel para Café, caixas com 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unidades, nº 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Cx.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D1384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13843" w:rsidRDefault="008F2F4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338,20</w:t>
            </w:r>
          </w:p>
        </w:tc>
      </w:tr>
    </w:tbl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widowControl/>
              <w:tabs>
                <w:tab w:val="left" w:pos="1701"/>
              </w:tabs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– DAS AMOSTRAS:</w:t>
            </w:r>
          </w:p>
        </w:tc>
      </w:tr>
    </w:tbl>
    <w:p w:rsidR="00D13843" w:rsidRDefault="00D138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13843" w:rsidRDefault="008F2F4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2.1- Para os itens </w:t>
      </w:r>
      <w:r>
        <w:rPr>
          <w:rFonts w:ascii="Times New Roman" w:hAnsi="Times New Roman" w:cs="Times New Roman"/>
          <w:b/>
          <w:bCs/>
          <w:sz w:val="22"/>
          <w:szCs w:val="22"/>
        </w:rPr>
        <w:t>03,05,06,12,13,16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hAnsi="Times New Roman" w:cs="Times New Roman"/>
          <w:b/>
          <w:bCs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deverão ser apresentadas amostras do licitante classificado provisoriamente em primeiro lugar, em embalagem original no tamanho solicitado nas </w:t>
      </w:r>
      <w:r>
        <w:rPr>
          <w:rFonts w:ascii="Times New Roman" w:hAnsi="Times New Roman" w:cs="Times New Roman"/>
          <w:sz w:val="22"/>
          <w:szCs w:val="22"/>
        </w:rPr>
        <w:t>especificações dos itens. As embalagens deverão sere entregues em até 03 (três) dias úteis após a divulgação dos licitantes vencedores do processo licitatório, identificados com data e nome da empresa.</w:t>
      </w:r>
    </w:p>
    <w:p w:rsidR="00D13843" w:rsidRDefault="00D1384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13843" w:rsidRDefault="008F2F4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2.2- As amostras passarão por avaliação sensorial (co</w:t>
      </w:r>
      <w:r>
        <w:rPr>
          <w:rFonts w:ascii="Times New Roman" w:hAnsi="Times New Roman" w:cs="Times New Roman"/>
          <w:sz w:val="22"/>
          <w:szCs w:val="22"/>
        </w:rPr>
        <w:t>r, sabor, odor, consistência) realizada pela chefe do setor de Alimentação Escolar e pela nutricionista, sendo desabilitado aquele produto que não atender os requisitos técnicos da especificação do ítem.</w:t>
      </w:r>
    </w:p>
    <w:p w:rsidR="00D13843" w:rsidRDefault="00D1384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13843" w:rsidRDefault="00D13843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widowControl/>
              <w:tabs>
                <w:tab w:val="left" w:pos="1701"/>
              </w:tabs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– DA EXECUÇÃO DOS SERVIÇOS:</w:t>
            </w:r>
          </w:p>
        </w:tc>
      </w:tr>
    </w:tbl>
    <w:p w:rsidR="00D13843" w:rsidRDefault="00D13843">
      <w:pPr>
        <w:pStyle w:val="Standard"/>
        <w:widowControl/>
        <w:tabs>
          <w:tab w:val="left" w:pos="1701"/>
        </w:tabs>
        <w:suppressAutoHyphens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3843" w:rsidRDefault="008F2F4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3.1- Os produtos </w:t>
      </w:r>
      <w:r>
        <w:rPr>
          <w:rFonts w:ascii="Times New Roman" w:hAnsi="Times New Roman" w:cs="Times New Roman"/>
          <w:sz w:val="22"/>
          <w:szCs w:val="22"/>
        </w:rPr>
        <w:t>devem ser de qualidade, boa apresentação e em embalagens adequadas conforme cada item.</w:t>
      </w:r>
    </w:p>
    <w:p w:rsidR="00D13843" w:rsidRDefault="00D1384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3.2- Deverá ser seguida a orientação descrita na licitação em relação a gramagem das embalagens e data de validade mínima.</w:t>
      </w:r>
    </w:p>
    <w:p w:rsidR="00D13843" w:rsidRDefault="00D1384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– JUSTIFICATIVA:</w:t>
            </w:r>
          </w:p>
        </w:tc>
      </w:tr>
    </w:tbl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 presente aquisição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visa o fornecimento de alimentos variados e seguros, que contribuam para o crescimento e desenvolvimento saudável dos alunos matriculados nas escolas municipais do município de Faxinal do Soturno, garantindo melhor rendimento escolar e segurança alimentar </w:t>
      </w:r>
      <w:r>
        <w:rPr>
          <w:rFonts w:ascii="Times New Roman" w:hAnsi="Times New Roman" w:cs="Times New Roman"/>
          <w:color w:val="000000"/>
          <w:sz w:val="22"/>
          <w:szCs w:val="22"/>
        </w:rPr>
        <w:t>e nutricional, bem como, condições de saúde àqueles que necessitem de atenção específica e em vulnerabilidade social, com acesso igualitário, respeitando as diferenças biológicas entre as faixas etárias.</w:t>
      </w:r>
    </w:p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 – DAS EXIGÊNCIAS TÉCNICAS:</w:t>
            </w:r>
          </w:p>
        </w:tc>
      </w:tr>
    </w:tbl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3843" w:rsidRDefault="008F2F4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5.1- </w:t>
      </w:r>
      <w:r>
        <w:rPr>
          <w:rFonts w:ascii="Times New Roman" w:hAnsi="Times New Roman" w:cs="Times New Roman"/>
          <w:sz w:val="22"/>
          <w:szCs w:val="22"/>
        </w:rPr>
        <w:t>Os produtos dev</w:t>
      </w:r>
      <w:r>
        <w:rPr>
          <w:rFonts w:ascii="Times New Roman" w:hAnsi="Times New Roman" w:cs="Times New Roman"/>
          <w:sz w:val="22"/>
          <w:szCs w:val="22"/>
        </w:rPr>
        <w:t xml:space="preserve">em ser fornecidos de acordo com as normas técnicas vigentes, </w:t>
      </w:r>
    </w:p>
    <w:p w:rsidR="00D13843" w:rsidRDefault="008F2F4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destacando-se a necessidade de observância aos cuidados necessários já previamente estabelecidos no contexto geral deste documento.</w:t>
      </w:r>
    </w:p>
    <w:p w:rsidR="00D13843" w:rsidRDefault="008F2F4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5.2- </w:t>
      </w:r>
      <w:r>
        <w:rPr>
          <w:rFonts w:ascii="Times New Roman" w:hAnsi="Times New Roman" w:cs="Times New Roman"/>
          <w:color w:val="000000"/>
          <w:sz w:val="22"/>
          <w:szCs w:val="22"/>
        </w:rPr>
        <w:t>A critério da Secretaria de Educação, departamento de ali</w:t>
      </w:r>
      <w:r>
        <w:rPr>
          <w:rFonts w:ascii="Times New Roman" w:hAnsi="Times New Roman" w:cs="Times New Roman"/>
          <w:color w:val="000000"/>
          <w:sz w:val="22"/>
          <w:szCs w:val="22"/>
        </w:rPr>
        <w:t>mentação escolar, as instalações dos licitantes poderão ser vistoriadas para verificação de sua capacidade técnica operacional.</w:t>
      </w:r>
    </w:p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 – DA FISCALIZAÇÃO E ACOMPANHAMENTO DA EXECUÇÃO DOS SERVIÇOS:</w:t>
            </w:r>
          </w:p>
        </w:tc>
      </w:tr>
    </w:tbl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A fiscalização dos serviços será exercida por servidor ou pre</w:t>
      </w:r>
      <w:r>
        <w:rPr>
          <w:rFonts w:ascii="Times New Roman" w:hAnsi="Times New Roman" w:cs="Times New Roman"/>
          <w:color w:val="000000"/>
          <w:sz w:val="22"/>
          <w:szCs w:val="22"/>
        </w:rPr>
        <w:t>posto devidamente autorizado pelo município, que comprovará o fiel e correto cumprimento da execução contratual.</w:t>
      </w:r>
    </w:p>
    <w:p w:rsidR="00D13843" w:rsidRDefault="00D13843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widowControl/>
              <w:tabs>
                <w:tab w:val="left" w:pos="1701"/>
              </w:tabs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7 – PRAZO DE ENTREGA: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Até o dia 31 de agosto de 2020.</w:t>
            </w:r>
          </w:p>
        </w:tc>
      </w:tr>
    </w:tbl>
    <w:p w:rsidR="00D13843" w:rsidRDefault="00D13843">
      <w:pPr>
        <w:pStyle w:val="Standard"/>
        <w:widowControl/>
        <w:tabs>
          <w:tab w:val="left" w:pos="1701"/>
        </w:tabs>
        <w:suppressAutoHyphens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widowControl/>
              <w:tabs>
                <w:tab w:val="left" w:pos="1701"/>
              </w:tabs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 – INFORMAÇÕES COMPLEMENTARES:</w:t>
            </w:r>
          </w:p>
        </w:tc>
      </w:tr>
    </w:tbl>
    <w:p w:rsidR="00D13843" w:rsidRDefault="008F2F4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entrega dos itens será realizada no depósito da </w:t>
      </w:r>
      <w:r>
        <w:rPr>
          <w:rFonts w:ascii="Times New Roman" w:hAnsi="Times New Roman" w:cs="Times New Roman"/>
          <w:color w:val="000000"/>
          <w:sz w:val="22"/>
          <w:szCs w:val="22"/>
        </w:rPr>
        <w:t>alimentação escolar situado na rua Sete de Setembro, 790 anexo ao antigo seminário.</w:t>
      </w: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O café, açúcar, chá e filtros de papel deverão ser entregues junto a cada Secretaria.</w:t>
      </w: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O horário das entregas deverão ocorrer das 07:30-11:30 e das 13:00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até 16:30.</w:t>
      </w:r>
    </w:p>
    <w:p w:rsidR="00D13843" w:rsidRDefault="008F2F47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As entregas deverão obedecer as datas de solicitação realizada pelo setor de alimentação escolar.</w:t>
      </w:r>
    </w:p>
    <w:p w:rsidR="00D13843" w:rsidRDefault="00D13843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widowControl/>
              <w:tabs>
                <w:tab w:val="left" w:pos="1134"/>
              </w:tabs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9 – DO PRAZO E DA VIGÊNCIA DO CONTRATO:</w:t>
            </w:r>
          </w:p>
        </w:tc>
      </w:tr>
    </w:tbl>
    <w:p w:rsidR="00D13843" w:rsidRDefault="00D13843">
      <w:pPr>
        <w:pStyle w:val="Standard"/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D13843" w:rsidRDefault="008F2F47">
      <w:pPr>
        <w:pStyle w:val="Standard"/>
        <w:widowControl/>
        <w:tabs>
          <w:tab w:val="left" w:pos="1134"/>
        </w:tabs>
        <w:suppressAutoHyphens w:val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  <w:lang w:eastAsia="ar-SA"/>
        </w:rPr>
        <w:tab/>
        <w:t xml:space="preserve">O prazo de vigência do presente contrato será de 6 (seis) meses, contados a partir da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lang w:eastAsia="ar-SA"/>
        </w:rPr>
        <w:t>assinatura do mesmo.</w:t>
      </w:r>
    </w:p>
    <w:p w:rsidR="00D13843" w:rsidRDefault="00D13843">
      <w:pPr>
        <w:pStyle w:val="Corpodetexto2"/>
        <w:tabs>
          <w:tab w:val="left" w:pos="1134"/>
        </w:tabs>
        <w:suppressAutoHyphens w:val="0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D1384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43" w:rsidRDefault="008F2F47">
            <w:pPr>
              <w:pStyle w:val="Corpodetexto2"/>
              <w:tabs>
                <w:tab w:val="left" w:pos="1134"/>
              </w:tabs>
              <w:suppressAutoHyphens w:val="0"/>
              <w:jc w:val="both"/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lang w:eastAsia="ar-SA"/>
              </w:rPr>
              <w:t xml:space="preserve">10 – </w:t>
            </w:r>
            <w: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  <w:t>RECURSOS ORÇAMENTÁRIOS</w:t>
            </w:r>
          </w:p>
        </w:tc>
      </w:tr>
    </w:tbl>
    <w:p w:rsidR="00D13843" w:rsidRDefault="008F2F47">
      <w:pPr>
        <w:pStyle w:val="Corpodetexto2"/>
        <w:tabs>
          <w:tab w:val="left" w:pos="1134"/>
        </w:tabs>
        <w:suppressAutoHyphens w:val="0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  <w:tab/>
      </w:r>
    </w:p>
    <w:p w:rsidR="00D13843" w:rsidRDefault="008F2F47">
      <w:pPr>
        <w:pStyle w:val="Corpodetexto2"/>
        <w:tabs>
          <w:tab w:val="left" w:pos="1134"/>
        </w:tabs>
        <w:suppressAutoHyphens w:val="0"/>
        <w:jc w:val="both"/>
      </w:pPr>
      <w:r>
        <w:rPr>
          <w:rFonts w:ascii="Times New Roman" w:hAnsi="Times New Roman" w:cs="Times New Roman"/>
          <w:sz w:val="22"/>
          <w:szCs w:val="22"/>
        </w:rPr>
        <w:t>As despesas decorrentes da contratação oriunda desta licitação correrão à conta da seguinte dotação orçamentária:</w:t>
      </w:r>
      <w:r>
        <w:rPr>
          <w:rFonts w:ascii="Times New Roman" w:hAnsi="Times New Roman" w:cs="Times New Roman"/>
          <w:sz w:val="22"/>
          <w:szCs w:val="22"/>
          <w:lang w:eastAsia="pt-BR"/>
        </w:rPr>
        <w:t xml:space="preserve"> 06 – Secretaria de Educação, Cultura e Desporto;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t-BR"/>
        </w:rPr>
        <w:t>06.03 – Gastos com Recursos Vinculados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eastAsia="pt-BR"/>
        </w:rPr>
        <w:t xml:space="preserve">  2034 -  Manutenção do Programa de Alimentação Escolar – PNAE – Creche,  33.90.30.00 – Material de Consumo, Fonte de Recurso: 1008.   06.01- Gastos do Ensino com Recursos do M.D.E, 2017 – Manutenção Da Secretaria de Educação, Cultura e Desporto;  33.90.30</w:t>
      </w:r>
      <w:r>
        <w:rPr>
          <w:rFonts w:ascii="Times New Roman" w:hAnsi="Times New Roman" w:cs="Times New Roman"/>
          <w:sz w:val="22"/>
          <w:szCs w:val="22"/>
          <w:lang w:eastAsia="pt-BR"/>
        </w:rPr>
        <w:t>.00; Material de Consumo; Fonte de Recurso: 0020;  03 – Secretaria de Administração e Gestão Financeira; 03.01 - Secretaria de Administração e Gestão Financeira; 2004 - Manutenção Secretaria de Administração e Gestão Financeira; 33.90.30.00 - Material de C</w:t>
      </w:r>
      <w:r>
        <w:rPr>
          <w:rFonts w:ascii="Times New Roman" w:hAnsi="Times New Roman" w:cs="Times New Roman"/>
          <w:sz w:val="22"/>
          <w:szCs w:val="22"/>
          <w:lang w:eastAsia="pt-BR"/>
        </w:rPr>
        <w:t>onsumo;  Fonte de Recurso: 0001 -   05 – Secretaria de Obras e Serviços Públicos; 05.01 Secretaria de Obras e Serviços Públicos;  2015 – Manutenção da Secretaria de Obras e Serviços Públicos; 33.90.30.00 - Material de Consumo; Fonte de Recurso: 0001;  07 –</w:t>
      </w:r>
      <w:r>
        <w:rPr>
          <w:rFonts w:ascii="Times New Roman" w:hAnsi="Times New Roman" w:cs="Times New Roman"/>
          <w:sz w:val="22"/>
          <w:szCs w:val="22"/>
          <w:lang w:eastAsia="pt-BR"/>
        </w:rPr>
        <w:t xml:space="preserve"> Secretaria da Saúde; 07.01 – Fundo Municipal da Saúde com Recursos Próprios; 2037 – Manutenção da Secretaria da Saúde; 33.90.30.00 – Material de Consumo; Fonte de Recurso: 0040;   08 – Secretaria da Agricultura e Meio Ambiente; 08.01 - Secretaria da Agric</w:t>
      </w:r>
      <w:r>
        <w:rPr>
          <w:rFonts w:ascii="Times New Roman" w:hAnsi="Times New Roman" w:cs="Times New Roman"/>
          <w:sz w:val="22"/>
          <w:szCs w:val="22"/>
          <w:lang w:eastAsia="pt-BR"/>
        </w:rPr>
        <w:t>ultura e Meio Ambiente; 2065 – Manutenção da Secretaria da Agricultura e Meio Ambiente; 33.90.30.00 – Material de Consumo; Fonte de Recurso:0001;  10 – Secretaria da Assistência Social; 10.02 – Gastos com Recursos Vinculados; 2121 – Manutenção do CRAS – Ce</w:t>
      </w:r>
      <w:r>
        <w:rPr>
          <w:rFonts w:ascii="Times New Roman" w:hAnsi="Times New Roman" w:cs="Times New Roman"/>
          <w:sz w:val="22"/>
          <w:szCs w:val="22"/>
          <w:lang w:eastAsia="pt-BR"/>
        </w:rPr>
        <w:t>ntro de Referência e Assistência Social; 33.90.30.00 – Material de Consumo; Fonte de Recurso: 1176</w:t>
      </w:r>
    </w:p>
    <w:p w:rsidR="00D13843" w:rsidRDefault="00D13843">
      <w:pPr>
        <w:pStyle w:val="Corpodetexto2"/>
        <w:tabs>
          <w:tab w:val="left" w:pos="1134"/>
        </w:tabs>
        <w:suppressAutoHyphens w:val="0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Corpodetexto2"/>
              <w:tabs>
                <w:tab w:val="left" w:pos="1134"/>
              </w:tabs>
              <w:suppressAutoHyphens w:val="0"/>
              <w:jc w:val="both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  <w:t>11 – DO PAGAMENTO:</w:t>
            </w:r>
          </w:p>
        </w:tc>
      </w:tr>
    </w:tbl>
    <w:p w:rsidR="00D13843" w:rsidRDefault="008F2F47">
      <w:pPr>
        <w:pStyle w:val="Standard"/>
        <w:widowControl/>
        <w:shd w:val="clear" w:color="auto" w:fill="FFFFFF"/>
        <w:tabs>
          <w:tab w:val="left" w:pos="1134"/>
        </w:tabs>
        <w:suppressAutoHyphens w:val="0"/>
        <w:jc w:val="both"/>
        <w:rPr>
          <w:rFonts w:hint="eastAsia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lang w:eastAsia="ar-SA"/>
        </w:rPr>
        <w:t xml:space="preserve">                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lang w:eastAsia="ar-SA"/>
        </w:rPr>
        <w:t xml:space="preserve">O pagamento será efetuado em até 30 (trinta) dias, mediante apresentação de NF, acompanhada de laudo de recebimento 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lang w:eastAsia="ar-SA"/>
        </w:rPr>
        <w:t>emitido pelo responsável pela fiscalização do contrato.</w:t>
      </w:r>
    </w:p>
    <w:p w:rsidR="00D13843" w:rsidRDefault="00D13843">
      <w:pPr>
        <w:pStyle w:val="Standard"/>
        <w:widowControl/>
        <w:shd w:val="clear" w:color="auto" w:fill="FFFFFF"/>
        <w:tabs>
          <w:tab w:val="left" w:pos="1134"/>
        </w:tabs>
        <w:suppressAutoHyphens w:val="0"/>
        <w:jc w:val="both"/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1384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43" w:rsidRDefault="008F2F47">
            <w:pPr>
              <w:pStyle w:val="Standard"/>
              <w:widowControl/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12 – DA ESTIMATIVA DE VALOR:</w:t>
            </w:r>
          </w:p>
        </w:tc>
      </w:tr>
    </w:tbl>
    <w:p w:rsidR="00D13843" w:rsidRDefault="008F2F47">
      <w:pPr>
        <w:pStyle w:val="Recuodecorpodetexto2"/>
        <w:spacing w:after="0" w:line="240" w:lineRule="auto"/>
        <w:ind w:left="0"/>
        <w:jc w:val="both"/>
        <w:rPr>
          <w:rFonts w:hint="eastAsia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lang w:eastAsia="ar-SA"/>
        </w:rPr>
        <w:t xml:space="preserve">                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O valor estimado para a aquisição de produtos alimentícios para a alimentação escolar é de </w:t>
      </w:r>
      <w:r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</w:rPr>
        <w:t>R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$ 25.555,85 </w:t>
      </w:r>
      <w:r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(vinte e cinco mil quinhentos e cinquenta e cinco</w:t>
      </w:r>
      <w:r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 reais e oitenta e cinco centavos).</w:t>
      </w:r>
    </w:p>
    <w:p w:rsidR="00D13843" w:rsidRDefault="00D13843">
      <w:pPr>
        <w:pStyle w:val="Recuodecorpodetexto2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</w:p>
    <w:p w:rsidR="00D13843" w:rsidRDefault="008F2F47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Faxinal do Soturno, 06 de fevereiro de 2020.</w:t>
      </w:r>
    </w:p>
    <w:p w:rsidR="00D13843" w:rsidRDefault="008F2F4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</w:p>
    <w:p w:rsidR="00D13843" w:rsidRDefault="00D1384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D13843" w:rsidRDefault="008F2F4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</w:t>
      </w:r>
    </w:p>
    <w:p w:rsidR="00D13843" w:rsidRDefault="008F2F4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Secretária de Educação</w:t>
      </w:r>
    </w:p>
    <w:sectPr w:rsidR="00D13843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2F4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F2F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CF" w:rsidRDefault="008F2F47">
    <w:pPr>
      <w:pStyle w:val="Rodap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3</w:t>
    </w:r>
    <w:r>
      <w:fldChar w:fldCharType="end"/>
    </w:r>
  </w:p>
  <w:p w:rsidR="00462CCF" w:rsidRDefault="008F2F47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2F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F2F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CF" w:rsidRDefault="008F2F47">
    <w:pPr>
      <w:pStyle w:val="Cabealho"/>
      <w:rPr>
        <w:rFonts w:hint="eastAsia"/>
      </w:rPr>
    </w:pPr>
  </w:p>
  <w:p w:rsidR="00462CCF" w:rsidRDefault="008F2F47">
    <w:pPr>
      <w:pStyle w:val="Cabealho"/>
      <w:rPr>
        <w:rFonts w:hint="eastAsia"/>
      </w:rPr>
    </w:pPr>
  </w:p>
  <w:p w:rsidR="00462CCF" w:rsidRDefault="008F2F47">
    <w:pPr>
      <w:pStyle w:val="Cabealho"/>
      <w:rPr>
        <w:rFonts w:hint="eastAsia"/>
      </w:rPr>
    </w:pPr>
  </w:p>
  <w:p w:rsidR="00462CCF" w:rsidRDefault="008F2F47">
    <w:pPr>
      <w:pStyle w:val="Cabealho"/>
      <w:rPr>
        <w:rFonts w:hint="eastAsia"/>
      </w:rPr>
    </w:pPr>
  </w:p>
  <w:p w:rsidR="00462CCF" w:rsidRDefault="008F2F47">
    <w:pPr>
      <w:pStyle w:val="Cabealho"/>
      <w:rPr>
        <w:rFonts w:hint="eastAsia"/>
      </w:rPr>
    </w:pPr>
  </w:p>
  <w:p w:rsidR="00462CCF" w:rsidRDefault="008F2F47">
    <w:pPr>
      <w:pStyle w:val="Cabealho"/>
      <w:rPr>
        <w:rFonts w:hint="eastAsia"/>
      </w:rPr>
    </w:pPr>
  </w:p>
  <w:p w:rsidR="00462CCF" w:rsidRDefault="008F2F47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3843"/>
    <w:rsid w:val="008F2F47"/>
    <w:rsid w:val="00D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3A7A-8FD2-4F46-AD38-478EC36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comentrio">
    <w:name w:val="annotation text"/>
    <w:basedOn w:val="Standard"/>
    <w:pPr>
      <w:jc w:val="both"/>
    </w:pPr>
    <w:rPr>
      <w:rFonts w:ascii="Courier New" w:eastAsia="Courier New" w:hAnsi="Courier New" w:cs="Times New Roman"/>
      <w:sz w:val="20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2">
    <w:name w:val="Body Text 2"/>
    <w:basedOn w:val="Standard"/>
    <w:pPr>
      <w:widowControl/>
    </w:pPr>
    <w:rPr>
      <w:rFonts w:ascii="Century Gothic" w:eastAsia="Century Gothic" w:hAnsi="Century Gothic" w:cs="Century Gothic"/>
      <w:color w:val="000000"/>
      <w:sz w:val="20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Selvio</dc:creator>
  <cp:lastModifiedBy>Selvio</cp:lastModifiedBy>
  <cp:revision>2</cp:revision>
  <cp:lastPrinted>2020-02-10T16:29:00Z</cp:lastPrinted>
  <dcterms:created xsi:type="dcterms:W3CDTF">2020-02-18T17:15:00Z</dcterms:created>
  <dcterms:modified xsi:type="dcterms:W3CDTF">2020-02-18T17:15:00Z</dcterms:modified>
</cp:coreProperties>
</file>