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C4" w:rsidRDefault="00C06BC4" w:rsidP="00C06BC4">
      <w:pPr>
        <w:pStyle w:val="Padr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C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="003C0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B20">
        <w:rPr>
          <w:rFonts w:ascii="Times New Roman" w:hAnsi="Times New Roman" w:cs="Times New Roman"/>
          <w:b/>
          <w:sz w:val="24"/>
          <w:szCs w:val="24"/>
        </w:rPr>
        <w:t>VII</w:t>
      </w:r>
      <w:proofErr w:type="gramEnd"/>
    </w:p>
    <w:p w:rsidR="00C06BC4" w:rsidRPr="00C06BC4" w:rsidRDefault="00C06BC4" w:rsidP="00C06BC4">
      <w:pPr>
        <w:pStyle w:val="Padr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299" w:rsidRPr="00C06BC4" w:rsidRDefault="00C06BC4" w:rsidP="00C06BC4">
      <w:pPr>
        <w:pStyle w:val="Padro"/>
        <w:jc w:val="center"/>
        <w:rPr>
          <w:b/>
        </w:rPr>
      </w:pPr>
      <w:r w:rsidRPr="00C06BC4">
        <w:rPr>
          <w:rFonts w:ascii="Times New Roman" w:hAnsi="Times New Roman" w:cs="Times New Roman"/>
          <w:b/>
          <w:sz w:val="24"/>
          <w:szCs w:val="24"/>
        </w:rPr>
        <w:t>MUNICÍPIO DE FAXINAL DO SOTURNO</w:t>
      </w:r>
    </w:p>
    <w:p w:rsidR="009E6299" w:rsidRPr="00C06BC4" w:rsidRDefault="00C06BC4" w:rsidP="00C06BC4">
      <w:pPr>
        <w:pStyle w:val="Padro"/>
        <w:jc w:val="center"/>
        <w:rPr>
          <w:b/>
        </w:rPr>
      </w:pPr>
      <w:r w:rsidRPr="00C06BC4">
        <w:rPr>
          <w:rFonts w:ascii="Times New Roman" w:hAnsi="Times New Roman" w:cs="Times New Roman"/>
          <w:b/>
          <w:sz w:val="24"/>
          <w:szCs w:val="24"/>
        </w:rPr>
        <w:t>ÍNDICE</w:t>
      </w:r>
      <w:r w:rsidR="00081C28">
        <w:rPr>
          <w:rFonts w:ascii="Times New Roman" w:hAnsi="Times New Roman" w:cs="Times New Roman"/>
          <w:b/>
          <w:sz w:val="24"/>
          <w:szCs w:val="24"/>
        </w:rPr>
        <w:t>S C</w:t>
      </w:r>
      <w:r w:rsidR="00CF63EB">
        <w:rPr>
          <w:rFonts w:ascii="Times New Roman" w:hAnsi="Times New Roman" w:cs="Times New Roman"/>
          <w:b/>
          <w:sz w:val="24"/>
          <w:szCs w:val="24"/>
        </w:rPr>
        <w:t>ONTÁBEIS – PREGÃO PRESENCIAL:  2</w:t>
      </w:r>
      <w:bookmarkStart w:id="0" w:name="_GoBack"/>
      <w:bookmarkEnd w:id="0"/>
      <w:r w:rsidR="003C0711">
        <w:rPr>
          <w:rFonts w:ascii="Times New Roman" w:hAnsi="Times New Roman" w:cs="Times New Roman"/>
          <w:b/>
          <w:sz w:val="24"/>
          <w:szCs w:val="24"/>
        </w:rPr>
        <w:t>1/2020</w:t>
      </w:r>
    </w:p>
    <w:p w:rsidR="009E6299" w:rsidRDefault="009E6299">
      <w:pPr>
        <w:pStyle w:val="Padro"/>
        <w:jc w:val="both"/>
      </w:pP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Com vistas a atender o disposto no artigo 31 da Lei Federal 8.666/93, a Administração prevê no Edital de licitações a exigência de índices contábeis para a comprovação da boa situação financeira das empresas licitantes, sejam eles: liquidez corrente, liquidez geral e solvência geral.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O Município conclui que o índice mínimo 1,00, exigido no Edital de licitação, para liquidez corrente, liquidez geral solvência geral são os aceitáveis para a Administração Pública, como descreve abaixo: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Liquidez Corrente: O índice mínimo 1,00 representa que a empresa licitante tem condições de arcar com as dívidas e obrigações de curto prazo. Abaixo desse índice indicaria que a empresa está operando com capital circulante líquido negativo, o que não daria segurança ao Município no cumprimento do contrato.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Liquidez Geral: Indica quanto a empresa licitante possui de circulante e realizável a longo prazo para cada R$ 1,00 de dívida total, dessa forma a solicitação de índice mínimo 1,00 equivale a empresa possuir, a longo prazo, condições de arcar com as dívidas e obrigações.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Solvência Geral: Expressa o grau de garantia que a empresa dispõe em ativos (totais) para pagamento do total de suas dívidas. Envolve além dos recursos líquidos, também os permanentes.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Sendo assim, o índice mínimo maior que 1,00 é indispensável à comprovação da boa situação financeira, sendo certo que quanto maior o resultado, melhor é a condição da empresa licitante.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Desta forma, atende plenamente a Lei Federal 8.666/93 limitando-se a exigir índices que demonstrem a capacidade financeira dos licitantes com vistas ao compromisso a ser assumido para plena execução do contrato.</w:t>
      </w:r>
    </w:p>
    <w:p w:rsidR="009E6299" w:rsidRDefault="009E6299">
      <w:pPr>
        <w:pStyle w:val="Padro"/>
        <w:jc w:val="both"/>
      </w:pPr>
    </w:p>
    <w:p w:rsidR="009E6299" w:rsidRDefault="009E6299">
      <w:pPr>
        <w:pStyle w:val="Padro"/>
        <w:jc w:val="both"/>
      </w:pPr>
    </w:p>
    <w:sectPr w:rsidR="009E6299">
      <w:pgSz w:w="11906" w:h="16838"/>
      <w:pgMar w:top="2268" w:right="1134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299"/>
    <w:rsid w:val="00081C28"/>
    <w:rsid w:val="003C0711"/>
    <w:rsid w:val="009E6299"/>
    <w:rsid w:val="00B47B20"/>
    <w:rsid w:val="00C06BC4"/>
    <w:rsid w:val="00C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96626-A085-4E46-BC76-30AE0EFA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Calibri" w:eastAsia="SimSun" w:hAnsi="Calibri" w:cs="Calibri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Selvio</cp:lastModifiedBy>
  <cp:revision>7</cp:revision>
  <dcterms:created xsi:type="dcterms:W3CDTF">2018-08-09T13:41:00Z</dcterms:created>
  <dcterms:modified xsi:type="dcterms:W3CDTF">2020-07-20T13:55:00Z</dcterms:modified>
</cp:coreProperties>
</file>