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326" w:rsidRDefault="00960326">
      <w:pPr>
        <w:pStyle w:val="Padr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ANEXO </w:t>
      </w:r>
    </w:p>
    <w:p w:rsidR="00960326" w:rsidRDefault="00960326">
      <w:pPr>
        <w:pStyle w:val="Padro"/>
        <w:jc w:val="both"/>
        <w:rPr>
          <w:rFonts w:ascii="Times New Roman" w:hAnsi="Times New Roman" w:cs="Times New Roman"/>
          <w:sz w:val="24"/>
          <w:szCs w:val="24"/>
        </w:rPr>
      </w:pPr>
    </w:p>
    <w:p w:rsidR="00BB3E86" w:rsidRDefault="00E61947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JUSTIFICATIVA DOS</w:t>
      </w:r>
      <w:bookmarkStart w:id="0" w:name="_GoBack"/>
      <w:bookmarkEnd w:id="0"/>
      <w:r w:rsidR="00960326">
        <w:rPr>
          <w:rFonts w:ascii="Times New Roman" w:hAnsi="Times New Roman" w:cs="Times New Roman"/>
          <w:sz w:val="24"/>
          <w:szCs w:val="24"/>
        </w:rPr>
        <w:t xml:space="preserve"> ÍNDICES CONTÁBEIS – LICITAÇÕES </w:t>
      </w:r>
    </w:p>
    <w:p w:rsidR="00BB3E86" w:rsidRDefault="00BB3E86">
      <w:pPr>
        <w:pStyle w:val="Padro"/>
        <w:jc w:val="both"/>
      </w:pPr>
    </w:p>
    <w:p w:rsidR="00BB3E86" w:rsidRDefault="00960326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Com vistas a atender o disposto no artigo 31 da Lei Federal 8.666/93, a Administração prevê no Edital de licitações a exigência de índices contábeis para a comprovação da boa situação financeira das empresas licitantes, sejam eles: liquidez corrente, liquidez geral e solvência geral.</w:t>
      </w:r>
    </w:p>
    <w:p w:rsidR="00BB3E86" w:rsidRDefault="00960326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O Município conclui que o índice mínimo 1,00, exigido no Edital de licitação, para liquidez corrente, liquidez geral solvência geral são os aceitáveis para a Administração Pública, como descreve abaixo:</w:t>
      </w:r>
    </w:p>
    <w:p w:rsidR="00BB3E86" w:rsidRDefault="00960326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Liquidez Corrente: O índice mínimo 1,00 representa que a empresa licitante tem condições de arcar com as dívidas e obrigações de curto prazo. Abaixo desse índice indicaria que a empresa está operando com capital circulante líquido negativo, o que não daria segurança ao Município no cumprimento do contrato.</w:t>
      </w:r>
    </w:p>
    <w:p w:rsidR="00BB3E86" w:rsidRDefault="00960326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Liquidez Geral: Indica quanto a empresa licitante possui de circulante e realizável a longo prazo para cada R$ 1,00 de dívida total, dessa forma a solicitação de índice mínimo 1,00 equivale a empresa possuir, a longo prazo, condições de arcar com as dívidas e obrigações.</w:t>
      </w:r>
    </w:p>
    <w:p w:rsidR="00BB3E86" w:rsidRDefault="00960326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Solvência Geral: Expressa o grau de garantia que a empresa dispõe em ativos (totais) para pagamento do total de suas dívidas. Envolve além dos recursos líquidos, também os permanentes.</w:t>
      </w:r>
    </w:p>
    <w:p w:rsidR="00BB3E86" w:rsidRDefault="00960326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Sendo assim, o índice mínimo maior que 1,00 é indispensável à comprovação da boa situação financeira, sendo certo que quanto maior o resultado, melhor é a condição da empresa licitante.</w:t>
      </w:r>
    </w:p>
    <w:p w:rsidR="00BB3E86" w:rsidRDefault="00960326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Desta forma, atende plenamente a Lei Federal 8.666/93 limitando-se a exigir índices que demonstrem a capacidade financeira dos licitantes com vistas ao compromisso a ser assumido para plena execução do contrato.</w:t>
      </w:r>
    </w:p>
    <w:p w:rsidR="00BB3E86" w:rsidRDefault="00BB3E86">
      <w:pPr>
        <w:pStyle w:val="Padro"/>
        <w:jc w:val="both"/>
      </w:pPr>
    </w:p>
    <w:p w:rsidR="00BB3E86" w:rsidRDefault="00BB3E86">
      <w:pPr>
        <w:pStyle w:val="Padro"/>
        <w:jc w:val="both"/>
      </w:pPr>
    </w:p>
    <w:sectPr w:rsidR="00BB3E86">
      <w:pgSz w:w="11906" w:h="16838"/>
      <w:pgMar w:top="2268" w:right="1134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B3E86"/>
    <w:rsid w:val="00960326"/>
    <w:rsid w:val="00BB3E86"/>
    <w:rsid w:val="00E6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12E924-27E8-4310-983C-83DE4AEFB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pPr>
      <w:suppressAutoHyphens/>
      <w:spacing w:after="200" w:line="276" w:lineRule="auto"/>
    </w:pPr>
    <w:rPr>
      <w:rFonts w:ascii="Calibri" w:eastAsia="SimSun" w:hAnsi="Calibri" w:cs="Calibri"/>
      <w:lang w:eastAsia="en-US"/>
    </w:rPr>
  </w:style>
  <w:style w:type="paragraph" w:styleId="Ttulo">
    <w:name w:val="Title"/>
    <w:basedOn w:val="Padro"/>
    <w:next w:val="Corpodetex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detexto">
    <w:name w:val="Body Text"/>
    <w:basedOn w:val="Padro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Padro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Padro"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267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Selvio</cp:lastModifiedBy>
  <cp:revision>6</cp:revision>
  <dcterms:created xsi:type="dcterms:W3CDTF">2018-08-09T13:41:00Z</dcterms:created>
  <dcterms:modified xsi:type="dcterms:W3CDTF">2020-11-04T12:07:00Z</dcterms:modified>
</cp:coreProperties>
</file>