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AD70BA">
        <w:rPr>
          <w:sz w:val="24"/>
          <w:szCs w:val="24"/>
        </w:rPr>
        <w:t>96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Orgânica do Município, concede quinze (15)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>
        <w:t>DANIEL VICENTE FANTINEL</w:t>
      </w:r>
      <w:bookmarkEnd w:id="0"/>
      <w:r>
        <w:t xml:space="preserve"> referente ao período aquisitivo 05/2020 a 04/2021, durante o período de 15/08/2022 a 29/08/2022, conforme art.102 da Lei Municipal nº 1350/2001, restando um saldo de 15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788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7880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92D07-C00B-4A05-B05A-5AF41110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2022-07-15T11:27:00Z</dcterms:created>
  <dcterms:modified xsi:type="dcterms:W3CDTF">2022-07-15T11:27:00Z</dcterms:modified>
</cp:coreProperties>
</file>