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3B5F">
        <w:rPr>
          <w:sz w:val="24"/>
          <w:szCs w:val="24"/>
        </w:rPr>
        <w:t>654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  <w:proofErr w:type="gramEnd"/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P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dez (10)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bookmarkStart w:id="0" w:name="_GoBack"/>
      <w:r w:rsidR="00333B5F" w:rsidRPr="00333B5F">
        <w:t>LOURENÇO DOMINGOS MORO</w:t>
      </w:r>
      <w:bookmarkEnd w:id="0"/>
      <w:r w:rsidR="00333B5F" w:rsidRPr="00333B5F">
        <w:t xml:space="preserve"> referente ao período aquisitivo 01/2020 a 12/2020, durante o p</w:t>
      </w:r>
      <w:r w:rsidR="00333B5F">
        <w:t>eríodo 21/11/2022 a 30/11</w:t>
      </w:r>
      <w:r w:rsidR="00333B5F" w:rsidRPr="00333B5F">
        <w:t>/2022, conforme art.102 da Lei Municipal nº 1350/2001</w:t>
      </w:r>
      <w:r w:rsidR="00333B5F">
        <w:t xml:space="preserve"> e Portaria 161/2022</w:t>
      </w:r>
      <w:r w:rsidR="00333B5F" w:rsidRPr="00333B5F">
        <w:t>.</w:t>
      </w:r>
    </w:p>
    <w:p w:rsidR="00D447D7" w:rsidRDefault="00D447D7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333B5F">
        <w:rPr>
          <w:sz w:val="24"/>
          <w:szCs w:val="24"/>
        </w:rPr>
        <w:t>VINTE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33B5F">
        <w:rPr>
          <w:sz w:val="24"/>
          <w:szCs w:val="24"/>
        </w:rPr>
        <w:t>20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291027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3B5F">
        <w:rPr>
          <w:sz w:val="24"/>
          <w:szCs w:val="24"/>
        </w:rPr>
        <w:t>20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D447D7">
        <w:rPr>
          <w:sz w:val="24"/>
          <w:szCs w:val="24"/>
        </w:rPr>
        <w:t>0-2022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33B5F">
        <w:rPr>
          <w:sz w:val="24"/>
          <w:szCs w:val="24"/>
        </w:rPr>
        <w:t>20</w:t>
      </w:r>
      <w:r w:rsidR="00291027">
        <w:rPr>
          <w:sz w:val="24"/>
          <w:szCs w:val="24"/>
        </w:rPr>
        <w:t>/10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776955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20A2C-BD3A-4EBF-9720-310E8816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2022-10-20T14:13:00Z</dcterms:created>
  <dcterms:modified xsi:type="dcterms:W3CDTF">2022-10-20T14:13:00Z</dcterms:modified>
</cp:coreProperties>
</file>